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1"/>
        <w:keepLines w:val="1"/>
        <w:widowControl w:val="0"/>
        <w:tabs>
          <w:tab w:val="right" w:leader="none" w:pos="9923"/>
        </w:tabs>
        <w:spacing w:line="240" w:lineRule="auto"/>
        <w:jc w:val="both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ab/>
        <w:t xml:space="preserve">            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De quelle graine s'agit-il ?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43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0"/>
        <w:gridCol w:w="3000"/>
        <w:gridCol w:w="3435"/>
        <w:tblGridChange w:id="0">
          <w:tblGrid>
            <w:gridCol w:w="3000"/>
            <w:gridCol w:w="3000"/>
            <w:gridCol w:w="34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81441" cy="1584596"/>
                  <wp:effectExtent b="0" l="0" r="0" t="0"/>
                  <wp:docPr id="15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6"/>
                          <a:srcRect b="13173" l="10937" r="12500" t="18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441" cy="15845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59934" cy="1365521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11827" r="3225" t="16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34" cy="13655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19275" cy="1732234"/>
                  <wp:effectExtent b="0" l="0" r="0" t="0"/>
                  <wp:docPr id="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8"/>
                          <a:srcRect b="9336" l="0" r="-2688" t="17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7322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06369" cy="1349921"/>
                  <wp:effectExtent b="0" l="0" r="0" t="0"/>
                  <wp:docPr id="1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369" cy="13499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28725" cy="1990725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990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45812" cy="1940471"/>
                  <wp:effectExtent b="0" l="0" r="0" t="0"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21491" r="17105" t="26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812" cy="19404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961205" cy="1486720"/>
                  <wp:effectExtent b="0" l="0" r="0" t="0"/>
                  <wp:docPr id="1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205" cy="14867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24038" cy="1631500"/>
                  <wp:effectExtent b="0" l="0" r="0" t="0"/>
                  <wp:docPr id="1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 b="0" l="0" r="0" t="32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038" cy="163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79806" cy="1686745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9175" l="0" r="0" t="30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806" cy="16867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b w:val="1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Réponses</w:t>
      </w:r>
    </w:p>
    <w:p w:rsidR="00000000" w:rsidDel="00000000" w:rsidP="00000000" w:rsidRDefault="00000000" w:rsidRPr="00000000" w14:paraId="00000015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Susanne aux yeux noirs</w:t>
            </w:r>
          </w:p>
          <w:p w:rsidR="00000000" w:rsidDel="00000000" w:rsidP="00000000" w:rsidRDefault="00000000" w:rsidRPr="00000000" w14:paraId="00000018">
            <w:pPr>
              <w:rPr>
                <w:b w:val="1"/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771650" cy="1866900"/>
                  <wp:effectExtent b="0" l="0" r="0" t="0"/>
                  <wp:docPr id="11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866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Bois noir</w:t>
            </w:r>
          </w:p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71650" cy="1320800"/>
                  <wp:effectExtent b="0" l="0" r="0" t="0"/>
                  <wp:docPr id="3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2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Géranium sauvage</w:t>
            </w:r>
          </w:p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71650" cy="1409700"/>
                  <wp:effectExtent b="0" l="0" r="0" t="0"/>
                  <wp:docPr id="2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409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Lobelia bleue</w:t>
            </w:r>
          </w:p>
          <w:p w:rsidR="00000000" w:rsidDel="00000000" w:rsidP="00000000" w:rsidRDefault="00000000" w:rsidRPr="00000000" w14:paraId="00000020">
            <w:pPr>
              <w:rPr>
                <w:b w:val="1"/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771650" cy="1778000"/>
                  <wp:effectExtent b="0" l="0" r="0" t="0"/>
                  <wp:docPr id="18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Asclépiade commune</w:t>
            </w:r>
            <w:r w:rsidDel="00000000" w:rsidR="00000000" w:rsidRPr="00000000">
              <w:rPr/>
              <w:drawing>
                <wp:inline distB="114300" distT="114300" distL="114300" distR="114300">
                  <wp:extent cx="1771650" cy="1181100"/>
                  <wp:effectExtent b="0" l="0" r="0" t="0"/>
                  <wp:docPr id="10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18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  <w:t xml:space="preserve">Liatris à épis </w:t>
            </w:r>
            <w:r w:rsidDel="00000000" w:rsidR="00000000" w:rsidRPr="00000000">
              <w:rPr/>
              <w:drawing>
                <wp:inline distB="114300" distT="114300" distL="114300" distR="114300">
                  <wp:extent cx="1771650" cy="1778000"/>
                  <wp:effectExtent b="0" l="0" r="0" t="0"/>
                  <wp:docPr id="19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Maïs</w:t>
            </w:r>
            <w:r w:rsidDel="00000000" w:rsidR="00000000" w:rsidRPr="00000000">
              <w:rPr/>
              <w:drawing>
                <wp:inline distB="114300" distT="114300" distL="114300" distR="114300">
                  <wp:extent cx="1771650" cy="1841500"/>
                  <wp:effectExtent b="0" l="0" r="0" t="0"/>
                  <wp:docPr id="8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84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Courge</w:t>
            </w:r>
            <w:r w:rsidDel="00000000" w:rsidR="00000000" w:rsidRPr="00000000">
              <w:rPr/>
              <w:drawing>
                <wp:inline distB="114300" distT="114300" distL="114300" distR="114300">
                  <wp:extent cx="1771650" cy="1778000"/>
                  <wp:effectExtent b="0" l="0" r="0" t="0"/>
                  <wp:docPr id="12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  <w:t xml:space="preserve">Haricots grimpants Scarlet Runner </w:t>
            </w:r>
            <w:r w:rsidDel="00000000" w:rsidR="00000000" w:rsidRPr="00000000">
              <w:rPr/>
              <w:drawing>
                <wp:inline distB="114300" distT="114300" distL="114300" distR="114300">
                  <wp:extent cx="1771650" cy="990600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990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sectPr>
      <w:headerReference r:id="rId2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spacing w:line="240" w:lineRule="auto"/>
      <w:rPr/>
    </w:pPr>
    <w:r w:rsidDel="00000000" w:rsidR="00000000" w:rsidRPr="00000000">
      <w:rPr>
        <w:rFonts w:ascii="Calibri" w:cs="Calibri" w:eastAsia="Calibri" w:hAnsi="Calibri"/>
        <w:sz w:val="36"/>
        <w:szCs w:val="36"/>
        <w:rtl w:val="0"/>
      </w:rPr>
      <w:t xml:space="preserve">Perte biodiversité</w:t>
      <w:tab/>
      <w:tab/>
    </w:r>
    <w:r w:rsidDel="00000000" w:rsidR="00000000" w:rsidRPr="00000000">
      <w:rPr>
        <w:rFonts w:ascii="Calibri" w:cs="Calibri" w:eastAsia="Calibri" w:hAnsi="Calibri"/>
        <w:i w:val="1"/>
        <w:sz w:val="24"/>
        <w:szCs w:val="24"/>
        <w:rtl w:val="0"/>
      </w:rPr>
      <w:tab/>
      <w:tab/>
      <w:tab/>
      <w:tab/>
      <w:tab/>
      <w:tab/>
    </w:r>
    <w:r w:rsidDel="00000000" w:rsidR="00000000" w:rsidRPr="00000000">
      <w:rPr/>
      <w:drawing>
        <wp:inline distB="114300" distT="114300" distL="114300" distR="114300">
          <wp:extent cx="623888" cy="623888"/>
          <wp:effectExtent b="0" l="0" r="0" t="0"/>
          <wp:docPr id="13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23888" cy="6238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11" Type="http://schemas.openxmlformats.org/officeDocument/2006/relationships/image" Target="media/image3.png"/><Relationship Id="rId22" Type="http://schemas.openxmlformats.org/officeDocument/2006/relationships/image" Target="media/image18.png"/><Relationship Id="rId10" Type="http://schemas.openxmlformats.org/officeDocument/2006/relationships/image" Target="media/image2.png"/><Relationship Id="rId21" Type="http://schemas.openxmlformats.org/officeDocument/2006/relationships/image" Target="media/image19.png"/><Relationship Id="rId13" Type="http://schemas.openxmlformats.org/officeDocument/2006/relationships/image" Target="media/image7.png"/><Relationship Id="rId24" Type="http://schemas.openxmlformats.org/officeDocument/2006/relationships/header" Target="header1.xml"/><Relationship Id="rId12" Type="http://schemas.openxmlformats.org/officeDocument/2006/relationships/image" Target="media/image5.png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5" Type="http://schemas.openxmlformats.org/officeDocument/2006/relationships/image" Target="media/image16.png"/><Relationship Id="rId14" Type="http://schemas.openxmlformats.org/officeDocument/2006/relationships/image" Target="media/image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5" Type="http://schemas.openxmlformats.org/officeDocument/2006/relationships/styles" Target="styles.xml"/><Relationship Id="rId19" Type="http://schemas.openxmlformats.org/officeDocument/2006/relationships/image" Target="media/image13.png"/><Relationship Id="rId6" Type="http://schemas.openxmlformats.org/officeDocument/2006/relationships/image" Target="media/image17.png"/><Relationship Id="rId18" Type="http://schemas.openxmlformats.org/officeDocument/2006/relationships/image" Target="media/image10.png"/><Relationship Id="rId7" Type="http://schemas.openxmlformats.org/officeDocument/2006/relationships/image" Target="media/image1.png"/><Relationship Id="rId8" Type="http://schemas.openxmlformats.org/officeDocument/2006/relationships/image" Target="media/image1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